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103 vom 18. Oktober 1983</w:t>
      </w:r>
    </w:p>
    <w:p>
      <w:r>
        <w:t>Bundesgericht (BGE), 1983-10-18, DE</w:t>
      </w:r>
    </w:p>
    <w:p>
      <w:r>
        <w:rPr>
          <w:b/>
        </w:rPr>
        <w:t xml:space="preserve">Quelle: </w:t>
      </w:r>
      <w:r>
        <w:t>https://mcp.opencaselaw.ch/entscheid/bge_109 IA 103</w:t>
      </w:r>
    </w:p>
    <w:p>
      <w:r>
        <w:t>FR: BGE 109 IA 103 du 18 octobre 1983</w:t>
      </w:r>
    </w:p>
    <w:p>
      <w:r>
        <w:t>IT: BGE 109 IA 103 del 18 ottobre 1983</w:t>
      </w:r>
    </w:p>
    <w:p>
      <w:pPr>
        <w:pStyle w:val="Heading2"/>
      </w:pPr>
      <w:r>
        <w:t>Regeste</w:t>
      </w:r>
    </w:p>
    <w:p>
      <w:r>
        <w:t>Regeste Art. 4 BV; Bewilligung des Wechselrechtsvorschlags, Revision. Die Regelung des Zivilprozessrechts des Kantons Graubünden, wonach gegen den Entscheid betreffend die Bewilligung des Rechtsvorschlags in der Wechselbetreibung die Revision nicht zulässig ist, verstösst nicht gegen Art. 4 BV.</w:t>
      </w:r>
    </w:p>
    <w:p>
      <w:pPr>
        <w:pStyle w:val="Heading2"/>
      </w:pPr>
      <w:r>
        <w:t>Erwägungen</w:t>
      </w:r>
    </w:p>
    <w:p>
      <w:r>
        <w:rPr>
          <w:b/>
        </w:rPr>
        <w:t>E. 1</w:t>
      </w:r>
    </w:p>
    <w:p>
      <w:r>
        <w:t>Mit der Beschwerde wird geltend gemacht, ein Anspruch auf Revision bestehe unabhängig vom kantonalen Prozessrecht gestützt auf Art. 4 BV dann, wenn das Nichteintreten auf ein BGE 109 Ia 103 S. 105 Revisionsbegehren eine Rechtsverweigerung darstelle. Eine solche sei bei einem Nichteintreten auf ein Revisionsbegehren immer dann anzunehmen, wenn als Revisionsgründe strafbare Handlungen oder neue Tatsachen geltend gemacht würden und bei einer Verweigerung der Revision dem Gesuchsteller ein nicht wiedergutzumachender Nachteil entstehe. Im vorliegenden Fall sei der Beschwerdeführer Opfer eines Verbrechens geworden, indem über ihn aufgrund gefälschter Wechsel der Konkurs eröffnet worden sei. Wohl hätte der Konkurs durch Bezahlung der Wechselsumme abgewendet und alsdann gestützt auf Art. 187 SchKG die ungerechtfertigte Zahlung auf dem ordentlichen Prozessweg zurückgefordert werden können. Dem Beschwerdeführer hätten aber die hiezu erforderlichen Mittel gefehlt. Unter diesen Umständen verstosse das Nichteintreten auf das Revisionsbegehren gegen Art. 4 BV .</w:t>
      </w:r>
    </w:p>
    <w:p>
      <w:r>
        <w:rPr>
          <w:b/>
        </w:rPr>
        <w:t>E. 2</w:t>
      </w:r>
    </w:p>
    <w:p>
      <w:r>
        <w:t>Der Beschwerdeführer beruft sich zur Stützung seiner Auffassung auf IMBODEN/RHINOW, Schweizerische Verwaltungsrechtsprechung, 5. Aufl., Bd. I, S. 264/265, Ziff. III. Die bundesgerichtlichen Urteile, auf die diese Autoren ihrerseits verweisen, beziehen sich indessen ausschliesslich auf Verwaltungssachen. Nach der Rechtsprechung des Bundesgerichts in Bundessteuersachen ist die Revision einer Steuerveranlagung auch ohne eine entsprechende Gesetzesvorschrift zulässig, wenn die Veranlagung unter Verletzung wesentlicher prozessualer Vorschriften zustande gekommen ist, wenn Tatsachen, die den Akten hätten entnommen werden können, unberücksichtigt geblieben sind oder wenn der Steuerpflichtige Tatsachen oder Beweismittel vorbringt, deren Geltendmachung ihm im früheren Verfahren nicht möglich war ( BGE 105 Ib 251 , BGE 103 Ib 88 , BGE 98 Ia 572 /573, mit Hinweisen). In Anlehnung an diese Rechtsprechung hat das Bundesgericht auch die Revision kantonaler Steuerveranlagungen ohne gesetzliche Grundlage als zulässig erachtet, ohne jedoch abschliessend festzulegen, unter welchen minimalen Voraussetzungen der Steuerpflichtige gestützt auf Art. 4 BV berechtigt ist, die Revision zu verlangen ( BGE 98 Ia 572 ). Ausserhalb des Steuerrechts hat das Bundesgericht entschieden, dass die kantonalen Verwaltungsbehörden unter gewissen Umständen unmittelbar aufgrund von Art. 4 BV verpflichtet sind, Verwaltungsverfügungen in Wiedererwägung zu ziehen ( BGE 100 Ib 371 /372 E. 3a, mit Hinweisen). Diese Rechtsprechung lässt sich schon deswegen nicht ohne weiteres auf das Zivilprozessrecht übertragen, weil für die Rechtskraft BGE 109 Ia 103 S. 106 von Verwaltungsverfügungen nicht die gleichen Grundsätze gelten wie für diejenige von Zivilurteilen. Dazu kommt, dass die Kantone in ihren Zivilprozessordnungen anders als in ihrer Verwaltungsgesetzgebung, die diesbezüglich oft lückenhaft ist, das Institut der Revision eingehend geregelt haben, so dass nicht leichthin angenommen werden darf, es bestünden neben den Revisionsmöglichkeiten des kantonalen Prozessrechts noch solche, die sich unmittelbar aus Art. 4 BV ergäben. Der Beschwerdeführer vermag denn auch keinen Entscheid anzuführen, gemäss welchem eine kantonale Behörde gestützt auf diese Bestimmung unabhängig vom kantonalen Recht zur Revision eines Zivilurteils verpflichtet worden wäre. Was den Entscheid über den Wechselrechtsvorschlag im besonderen betrifft, ist überdies zu beachten, dass den Kantonen in Art. 185 SchKG nur das Rechtsmittel der Berufung vorgeschrieben wird. Daraus muss geschlossen werden, dass das Bundesrecht die Zulassung ausserordentlicher Rechtsmittel den Kantonen anheimstellt, die auch sonst das anwendbare summarische Prozessverfahren auszugestalten haben ( Art. 25 Ziff. 2 SchKG ). Ist aber die bundesrechtliche Regelung des Rechtsmittelverfahrens beim Entscheid über den Wechselrechtsvorschlag in diesem Sinne als abschliessend zu betrachten, so können die Kantone nicht auf dem Umweg über Art. 4 BV zur Zulassung der Revision verhalten werden.</w:t>
      </w:r>
    </w:p>
    <w:p>
      <w:r>
        <w:rPr>
          <w:b/>
        </w:rPr>
        <w:t>E. 3</w:t>
      </w:r>
    </w:p>
    <w:p>
      <w:r>
        <w:t>Es ist dem Beschwerdeführer freilich zuzugeben, dass die Rückforderungsklage gemäss Art. 187 SchKG , auf die ihn der Kantonsgerichtsausschuss verweist, in einem Fall wie dem vorliegenden nur einen unvollkommenen Ersatz für die Revision darstellt. Verfügt der Wechselschuldner nicht über die erforderlichen Mittel, so kann er die Konkurseröffnung nicht durch Bezahlung der Wechselsumme abwenden. Ist der Konkurs aber einmal eröffnet, so ist umstritten, ob die Rückforderungsklage überhaupt zulässig sei (vgl. BGE 98 II 156 , mit Hinweisen), ganz abgesehen davon, dass der Gläubiger das empfangene Geld möglicherweise nicht mehr zurückgeben und dass der mit der Konkurseröffnung verbundene Makel ohnehin nicht rückgängig gemacht werden kann. Das ist jedoch die Folge der gesetzlichen Ausgestaltung der Wechselbetreibung, die es eben zulässt, dass die Bewilligung des Wechselrechtsvorschlags verweigert und danach der Konkurs eröffnet wird, wenn keiner der Rechtsvorschlagsgründe des Art. 182 SchKG nachgewiesen ist, insbesondere wenn der Schuldner die Fälschung des Titels nicht glaubhaft machen kann, obwohl die BGE 109 Ia 103 S. 107 Wechselschuld in Wirklichkeit möglicherweise nicht besteht. Indem der Bundesgesetzgeber in Art. 25 Ziff. 2 SchKG den Kantonen für den Entscheid über die Bewilligung des Wechselrechtsvorschlags ein summarisches Verfahren vorschreibt, nimmt er es nach den zutreffenden Ausführungen im angefochtenen Entscheid im Interesse einer der Natur der Wechselbetreibung entsprechenden raschen Verfahrenserledigung in Kauf, dass den Parteien nur beschränkte Beweismittel zur Verfügung stehen. Wenn den Parteien aus dieser Regelung gewisse Nachteile entstehen, so kann darin nicht eine gegen Art. 4 BV verstossende Rechtsverweigerung erblickt werden, die unabhängig von der kantonalen Rechtsmittelordnung von Verfassungs wegen zur Zulassung der Revision führen müsste. Die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